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45" w:rsidRPr="00864568" w:rsidRDefault="00957745" w:rsidP="00957745">
      <w:pPr>
        <w:pStyle w:val="2"/>
        <w:keepNext/>
        <w:keepLines/>
      </w:pPr>
      <w:r>
        <w:t>58.</w:t>
      </w:r>
      <w:r>
        <w:tab/>
      </w:r>
      <w:proofErr w:type="spellStart"/>
      <w:r w:rsidRPr="00864568">
        <w:t>Az</w:t>
      </w:r>
      <w:proofErr w:type="spellEnd"/>
      <w:r w:rsidRPr="00864568">
        <w:t xml:space="preserve"> 1985:</w:t>
      </w:r>
      <w:r>
        <w:t xml:space="preserve"> </w:t>
      </w:r>
      <w:r w:rsidRPr="00864568">
        <w:t xml:space="preserve">I. </w:t>
      </w:r>
      <w:proofErr w:type="spellStart"/>
      <w:r w:rsidRPr="00864568">
        <w:t>törvény</w:t>
      </w:r>
      <w:proofErr w:type="spellEnd"/>
      <w:r w:rsidRPr="00864568">
        <w:t xml:space="preserve"> </w:t>
      </w:r>
      <w:proofErr w:type="spellStart"/>
      <w:r w:rsidRPr="00864568">
        <w:t>az</w:t>
      </w:r>
      <w:proofErr w:type="spellEnd"/>
      <w:r w:rsidRPr="00864568">
        <w:t xml:space="preserve"> </w:t>
      </w:r>
      <w:proofErr w:type="spellStart"/>
      <w:r w:rsidRPr="00864568">
        <w:t>oktatásról</w:t>
      </w:r>
      <w:proofErr w:type="spellEnd"/>
      <w:r w:rsidRPr="00864568">
        <w:t xml:space="preserve"> (</w:t>
      </w:r>
      <w:proofErr w:type="spellStart"/>
      <w:r w:rsidRPr="00864568">
        <w:t>Részlet</w:t>
      </w:r>
      <w:proofErr w:type="spellEnd"/>
      <w:r w:rsidRPr="00864568">
        <w:t>)</w:t>
      </w:r>
    </w:p>
    <w:p w:rsidR="00957745" w:rsidRDefault="00957745" w:rsidP="00957745">
      <w:pPr>
        <w:pStyle w:val="Absatz1"/>
        <w:keepNext/>
        <w:keepLines/>
      </w:pPr>
    </w:p>
    <w:p w:rsidR="00957745" w:rsidRPr="00A76F06" w:rsidRDefault="00957745" w:rsidP="00957745">
      <w:pPr>
        <w:pStyle w:val="bibFett"/>
        <w:keepNext/>
        <w:keepLines/>
        <w:spacing w:after="60"/>
        <w:rPr>
          <w:rFonts w:ascii="Times New Roman" w:hAnsi="Times New Roman"/>
          <w:b w:val="0"/>
          <w:sz w:val="21"/>
          <w:szCs w:val="21"/>
        </w:rPr>
      </w:pPr>
      <w:r w:rsidRPr="00A76F06">
        <w:rPr>
          <w:rFonts w:ascii="Times New Roman" w:hAnsi="Times New Roman"/>
          <w:b w:val="0"/>
          <w:sz w:val="21"/>
          <w:szCs w:val="21"/>
        </w:rPr>
        <w:t>I. FEJEZET</w:t>
      </w:r>
    </w:p>
    <w:p w:rsidR="00957745" w:rsidRPr="00A76F06" w:rsidRDefault="00957745" w:rsidP="00957745">
      <w:pPr>
        <w:keepNext/>
        <w:keepLines/>
        <w:jc w:val="center"/>
        <w:rPr>
          <w:sz w:val="21"/>
          <w:szCs w:val="21"/>
        </w:rPr>
      </w:pPr>
      <w:r w:rsidRPr="00A76F06">
        <w:rPr>
          <w:sz w:val="21"/>
          <w:szCs w:val="21"/>
        </w:rPr>
        <w:t>ALAPELVEK</w:t>
      </w:r>
    </w:p>
    <w:p w:rsidR="00957745" w:rsidRPr="00864568" w:rsidRDefault="00957745" w:rsidP="00957745">
      <w:pPr>
        <w:pStyle w:val="Absatz1"/>
        <w:keepNext/>
        <w:keepLines/>
      </w:pPr>
      <w:r w:rsidRPr="00864568">
        <w:t>[...]</w:t>
      </w:r>
    </w:p>
    <w:p w:rsidR="00957745" w:rsidRPr="002C1AD1" w:rsidRDefault="00957745" w:rsidP="00957745">
      <w:pPr>
        <w:pStyle w:val="bibFett"/>
        <w:keepNext/>
        <w:keepLines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7. §.</w:t>
      </w:r>
    </w:p>
    <w:p w:rsidR="00957745" w:rsidRPr="00E701BD" w:rsidRDefault="00957745" w:rsidP="00957745">
      <w:pPr>
        <w:pStyle w:val="Absatz1"/>
        <w:keepNext/>
        <w:keepLines/>
        <w:rPr>
          <w:lang w:val="hu-HU"/>
        </w:rPr>
      </w:pPr>
      <w:r w:rsidRPr="00E701BD">
        <w:rPr>
          <w:lang w:val="hu-HU"/>
        </w:rPr>
        <w:t>(1) Az óvodai nevelés és az iskolai nevelés-oktatás nyelve a magyar, valamint a M</w:t>
      </w:r>
      <w:r w:rsidRPr="00E701BD">
        <w:rPr>
          <w:lang w:val="hu-HU"/>
        </w:rPr>
        <w:t>a</w:t>
      </w:r>
      <w:r w:rsidRPr="00E701BD">
        <w:rPr>
          <w:lang w:val="hu-HU"/>
        </w:rPr>
        <w:t>gyar Népköztársaságban beszélt minden nemzetiségi nyelv.</w:t>
      </w:r>
    </w:p>
    <w:p w:rsidR="00957745" w:rsidRPr="00E701BD" w:rsidRDefault="00957745" w:rsidP="00957745">
      <w:pPr>
        <w:pStyle w:val="Absatz1"/>
        <w:rPr>
          <w:lang w:val="hu-HU"/>
        </w:rPr>
      </w:pPr>
      <w:r w:rsidRPr="00E701BD">
        <w:rPr>
          <w:lang w:val="hu-HU"/>
        </w:rPr>
        <w:t>(2) A nemzetiségekhez tartozó gyermekek, tanulók anyanyelvükön, illetőleg két nye</w:t>
      </w:r>
      <w:r w:rsidRPr="00E701BD">
        <w:rPr>
          <w:lang w:val="hu-HU"/>
        </w:rPr>
        <w:t>l</w:t>
      </w:r>
      <w:r w:rsidRPr="00E701BD">
        <w:rPr>
          <w:lang w:val="hu-HU"/>
        </w:rPr>
        <w:t>ven – anyanyel</w:t>
      </w:r>
      <w:r w:rsidRPr="00E701BD">
        <w:rPr>
          <w:lang w:val="hu-HU"/>
        </w:rPr>
        <w:softHyphen/>
        <w:t>ven és magyarul – részesülhetnek óvodai nevelésben, valamint iskolai nevelésben és oktatásban.</w:t>
      </w:r>
    </w:p>
    <w:p w:rsidR="00957745" w:rsidRPr="00E701BD" w:rsidRDefault="00957745" w:rsidP="00957745">
      <w:pPr>
        <w:pStyle w:val="Absatz1"/>
        <w:rPr>
          <w:lang w:val="hu-HU"/>
        </w:rPr>
      </w:pPr>
      <w:r w:rsidRPr="00E701BD">
        <w:rPr>
          <w:lang w:val="hu-HU"/>
        </w:rPr>
        <w:t>(3) A nemzetiségi nyelvek az iskolai nevelés-oktatás valamennyi fokán tanulhatók.</w:t>
      </w:r>
    </w:p>
    <w:p w:rsidR="00957745" w:rsidRPr="00E701BD" w:rsidRDefault="00957745" w:rsidP="00957745">
      <w:pPr>
        <w:pStyle w:val="Absatz1"/>
        <w:rPr>
          <w:lang w:val="hu-HU"/>
        </w:rPr>
      </w:pPr>
      <w:r w:rsidRPr="00E701BD">
        <w:rPr>
          <w:lang w:val="hu-HU"/>
        </w:rPr>
        <w:t>(4) A nevelés-oktatás – az iskolai nevelés-oktatás valamennyi fokán – idegen nyelven is folyhat.</w:t>
      </w:r>
    </w:p>
    <w:p w:rsidR="00957745" w:rsidRPr="00E701BD" w:rsidRDefault="00957745" w:rsidP="00957745">
      <w:pPr>
        <w:pStyle w:val="Absatz1"/>
        <w:rPr>
          <w:szCs w:val="21"/>
          <w:lang w:val="hu-HU"/>
        </w:rPr>
      </w:pPr>
      <w:r w:rsidRPr="00E701BD">
        <w:rPr>
          <w:lang w:val="hu-HU"/>
        </w:rPr>
        <w:t>(5) Az állam az (1)-(3) bekezdésben foglaltak feltételeiről szervezetten gondoskodik.</w:t>
      </w:r>
    </w:p>
    <w:p w:rsidR="00957745" w:rsidRPr="00A76F06" w:rsidRDefault="00957745" w:rsidP="00957745">
      <w:pPr>
        <w:keepNext/>
        <w:spacing w:after="60"/>
        <w:jc w:val="center"/>
        <w:rPr>
          <w:sz w:val="21"/>
          <w:szCs w:val="21"/>
          <w:lang w:val="en-GB"/>
        </w:rPr>
      </w:pPr>
      <w:r w:rsidRPr="00A76F06">
        <w:rPr>
          <w:sz w:val="21"/>
          <w:szCs w:val="21"/>
          <w:lang w:val="en-GB"/>
        </w:rPr>
        <w:t>II. FEJEZET</w:t>
      </w:r>
    </w:p>
    <w:p w:rsidR="00957745" w:rsidRPr="00A76F06" w:rsidRDefault="00957745" w:rsidP="00957745">
      <w:pPr>
        <w:keepNext/>
        <w:jc w:val="center"/>
        <w:rPr>
          <w:sz w:val="21"/>
          <w:szCs w:val="21"/>
          <w:lang w:val="en-GB"/>
        </w:rPr>
      </w:pPr>
      <w:r w:rsidRPr="00A76F06">
        <w:rPr>
          <w:sz w:val="21"/>
          <w:szCs w:val="21"/>
          <w:lang w:val="en-GB"/>
        </w:rPr>
        <w:t>A NEVELÉSI-OKTATÁSI RENDSZER</w:t>
      </w:r>
    </w:p>
    <w:p w:rsidR="00957745" w:rsidRPr="002C1AD1" w:rsidRDefault="00957745" w:rsidP="00957745">
      <w:pPr>
        <w:pStyle w:val="bibFett"/>
        <w:keepNext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21. §.</w:t>
      </w:r>
    </w:p>
    <w:p w:rsidR="00957745" w:rsidRPr="00E701BD" w:rsidRDefault="00957745" w:rsidP="00957745">
      <w:pPr>
        <w:pStyle w:val="Absatz1"/>
        <w:keepNext/>
        <w:rPr>
          <w:lang w:val="hu-HU"/>
        </w:rPr>
      </w:pPr>
      <w:r w:rsidRPr="00E701BD">
        <w:rPr>
          <w:lang w:val="hu-HU"/>
        </w:rPr>
        <w:t>(1) Óvodát, alap- és középfokú iskolát, diákotthont és kollégiumot (a továbbiakban a diákotthon és kollégium együtt: diákotthon), valamint alapfokú művészetoktatási i</w:t>
      </w:r>
      <w:r w:rsidRPr="00E701BD">
        <w:rPr>
          <w:lang w:val="hu-HU"/>
        </w:rPr>
        <w:t>n</w:t>
      </w:r>
      <w:r w:rsidRPr="00E701BD">
        <w:rPr>
          <w:lang w:val="hu-HU"/>
        </w:rPr>
        <w:t>tézményt a tanácsok létesíthet</w:t>
      </w:r>
      <w:r w:rsidRPr="00E701BD">
        <w:rPr>
          <w:lang w:val="hu-HU"/>
        </w:rPr>
        <w:softHyphen/>
        <w:t>nek és tarthatnak fenn.</w:t>
      </w:r>
    </w:p>
    <w:p w:rsidR="00957745" w:rsidRPr="00E701BD" w:rsidRDefault="00957745" w:rsidP="00957745">
      <w:pPr>
        <w:pStyle w:val="Absatz1"/>
        <w:rPr>
          <w:lang w:val="hu-HU"/>
        </w:rPr>
      </w:pPr>
    </w:p>
    <w:p w:rsidR="00957745" w:rsidRPr="0065314F" w:rsidRDefault="00957745" w:rsidP="00957745">
      <w:pPr>
        <w:pStyle w:val="Absatz1"/>
        <w:spacing w:after="60"/>
        <w:rPr>
          <w:sz w:val="19"/>
          <w:szCs w:val="19"/>
          <w:lang w:val="hu-HU"/>
        </w:rPr>
      </w:pPr>
      <w:r w:rsidRPr="0065314F">
        <w:rPr>
          <w:sz w:val="19"/>
          <w:szCs w:val="19"/>
          <w:lang w:val="hu-HU"/>
        </w:rPr>
        <w:t>Quelle: Törvények és Rendeletek Hivatalos Gyűjteménye, 1985, Budapest 1986, S. 3 und 5.</w:t>
      </w:r>
    </w:p>
    <w:p w:rsidR="00957745" w:rsidRPr="00795D42" w:rsidRDefault="00957745" w:rsidP="00957745">
      <w:pPr>
        <w:pStyle w:val="Absatz1"/>
        <w:spacing w:after="60"/>
        <w:rPr>
          <w:sz w:val="19"/>
          <w:szCs w:val="19"/>
        </w:rPr>
      </w:pPr>
      <w:r w:rsidRPr="00795D42">
        <w:rPr>
          <w:sz w:val="19"/>
          <w:szCs w:val="19"/>
        </w:rPr>
        <w:t>Übersetzung: Gesetz Nr. I des Jahres 1985 über den Unterricht.</w:t>
      </w:r>
    </w:p>
    <w:p w:rsidR="00957745" w:rsidRPr="00795D42" w:rsidRDefault="00957745" w:rsidP="00957745">
      <w:pPr>
        <w:pStyle w:val="Absatz1"/>
        <w:spacing w:after="60"/>
        <w:rPr>
          <w:sz w:val="19"/>
          <w:szCs w:val="19"/>
        </w:rPr>
      </w:pPr>
      <w:r w:rsidRPr="00795D42">
        <w:rPr>
          <w:sz w:val="19"/>
          <w:szCs w:val="19"/>
        </w:rPr>
        <w:t>Kommentar: Das Gesetz wurde am 18. April 1985 verabschiedet, es trat jedoch erst am 1. Se</w:t>
      </w:r>
      <w:r w:rsidRPr="00795D42">
        <w:rPr>
          <w:sz w:val="19"/>
          <w:szCs w:val="19"/>
        </w:rPr>
        <w:t>p</w:t>
      </w:r>
      <w:r w:rsidRPr="00795D42">
        <w:rPr>
          <w:sz w:val="19"/>
          <w:szCs w:val="19"/>
        </w:rPr>
        <w:t>tember 1986 in Kraft.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7745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57745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7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957745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957745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2">
    <w:name w:val="Ü_2"/>
    <w:basedOn w:val="Norml"/>
    <w:rsid w:val="00957745"/>
    <w:pPr>
      <w:ind w:left="425" w:hanging="425"/>
      <w:jc w:val="both"/>
    </w:pPr>
    <w:rPr>
      <w:sz w:val="23"/>
    </w:rPr>
  </w:style>
  <w:style w:type="paragraph" w:customStyle="1" w:styleId="bibFett">
    <w:name w:val="bib + Fett"/>
    <w:aliases w:val="Zentriert"/>
    <w:basedOn w:val="Norml"/>
    <w:semiHidden/>
    <w:rsid w:val="00957745"/>
    <w:pPr>
      <w:jc w:val="center"/>
    </w:pPr>
    <w:rPr>
      <w:rFonts w:ascii="Arial" w:eastAsia="Times New Roman" w:hAnsi="Arial"/>
      <w:b/>
      <w:szCs w:val="20"/>
      <w:lang w:val="hu-H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2015-01-16T15:13:00Z</dcterms:created>
  <dcterms:modified xsi:type="dcterms:W3CDTF">2015-01-16T15:14:00Z</dcterms:modified>
</cp:coreProperties>
</file>