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6" w:rsidRPr="00757FA6" w:rsidRDefault="009F78A6" w:rsidP="009F78A6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„Die Frage der ungarischen Revision steht und fällt damit, was für eine </w:t>
      </w:r>
      <w:proofErr w:type="spellStart"/>
      <w:r w:rsidRPr="00757FA6">
        <w:rPr>
          <w:rFonts w:eastAsia="Times New Roman"/>
          <w:lang w:val="de-DE"/>
        </w:rPr>
        <w:t>Nationalitätenpolitik</w:t>
      </w:r>
      <w:proofErr w:type="spellEnd"/>
      <w:r w:rsidRPr="00757FA6">
        <w:rPr>
          <w:rFonts w:eastAsia="Times New Roman"/>
          <w:lang w:val="de-DE"/>
        </w:rPr>
        <w:t xml:space="preserve"> in Wirklichkeit hier zu Hause betrieben wird. Da bleibt jedes Versprechen wirkungslos und jede Vorspiegelung ist zwecklos. Wer statt der St. Stephans-Idee ungarische Rassenpolitik verkündet, der versündigt sich nicht nur am ungarischen Staat, sondern auch an der ungarischen Rasse; der verzichtet für immer darauf, dass in dieses Land noch einmal auch andere Völker und Volksgruppen zurückkehren.“ </w:t>
      </w:r>
      <w:r w:rsidRPr="00757FA6">
        <w:rPr>
          <w:rFonts w:eastAsia="Times New Roman"/>
          <w:i/>
          <w:lang w:val="de-DE"/>
        </w:rPr>
        <w:t xml:space="preserve">(Jakob Bleyer über die ungarische </w:t>
      </w:r>
      <w:proofErr w:type="spellStart"/>
      <w:r w:rsidRPr="00757FA6">
        <w:rPr>
          <w:rFonts w:eastAsia="Times New Roman"/>
          <w:i/>
          <w:lang w:val="de-DE"/>
        </w:rPr>
        <w:t>Nationalitätenpolitik</w:t>
      </w:r>
      <w:proofErr w:type="spellEnd"/>
      <w:r w:rsidRPr="00757FA6">
        <w:rPr>
          <w:rFonts w:eastAsia="Times New Roman"/>
          <w:i/>
          <w:lang w:val="de-DE"/>
        </w:rPr>
        <w:t xml:space="preserve"> in seiner Parlamentsrede vom 9. Mai 1933)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78A6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9F78A6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8A6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2015-01-16T18:32:00Z</dcterms:created>
  <dcterms:modified xsi:type="dcterms:W3CDTF">2015-01-16T18:33:00Z</dcterms:modified>
</cp:coreProperties>
</file>