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6A" w:rsidRDefault="004D2D6A" w:rsidP="004D2D6A">
      <w:pPr>
        <w:spacing w:after="120" w:line="36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Verordnung</w:t>
      </w:r>
      <w:proofErr w:type="spellEnd"/>
      <w:r>
        <w:rPr>
          <w:rFonts w:eastAsia="Times New Roman"/>
        </w:rPr>
        <w:t xml:space="preserve"> Nr. 84/1950 (III.25.) M. T. des </w:t>
      </w:r>
      <w:proofErr w:type="spellStart"/>
      <w:r>
        <w:rPr>
          <w:rFonts w:eastAsia="Times New Roman"/>
        </w:rPr>
        <w:t>Ministerrates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Volksrepublik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betreffend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Aufhebung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Anwendung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Zusammenhang</w:t>
      </w:r>
      <w:proofErr w:type="spellEnd"/>
      <w:r>
        <w:rPr>
          <w:rFonts w:eastAsia="Times New Roman"/>
        </w:rPr>
        <w:t xml:space="preserve"> mit der </w:t>
      </w:r>
      <w:proofErr w:type="spellStart"/>
      <w:r>
        <w:rPr>
          <w:rFonts w:eastAsia="Times New Roman"/>
        </w:rPr>
        <w:t>Umsiedlung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Bevölkerung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erlassenen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Einschränkungsverfügungen</w:t>
      </w:r>
      <w:proofErr w:type="spellEnd"/>
      <w:r>
        <w:rPr>
          <w:rFonts w:eastAsia="Times New Roman"/>
        </w:rPr>
        <w:t xml:space="preserve">. </w:t>
      </w:r>
    </w:p>
    <w:p w:rsidR="004D2D6A" w:rsidRDefault="004D2D6A" w:rsidP="004D2D6A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§1 </w:t>
      </w:r>
    </w:p>
    <w:p w:rsidR="004D2D6A" w:rsidRDefault="004D2D6A" w:rsidP="004D2D6A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1) Mit </w:t>
      </w:r>
      <w:proofErr w:type="spellStart"/>
      <w:r>
        <w:rPr>
          <w:rFonts w:eastAsia="Times New Roman"/>
        </w:rPr>
        <w:t>Inkrafttreten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Verordnung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finden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Zusammenhang</w:t>
      </w:r>
      <w:proofErr w:type="spellEnd"/>
      <w:r>
        <w:rPr>
          <w:rFonts w:eastAsia="Times New Roman"/>
        </w:rPr>
        <w:t xml:space="preserve"> mit der </w:t>
      </w:r>
      <w:proofErr w:type="spellStart"/>
      <w:r>
        <w:rPr>
          <w:rFonts w:eastAsia="Times New Roman"/>
        </w:rPr>
        <w:t>Umsiedlung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Bevölkerung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erlassenen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Einschränkungsverfügungen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Anwendung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mehr</w:t>
      </w:r>
      <w:proofErr w:type="spellEnd"/>
      <w:r>
        <w:rPr>
          <w:rFonts w:eastAsia="Times New Roman"/>
        </w:rPr>
        <w:t xml:space="preserve">. </w:t>
      </w:r>
    </w:p>
    <w:p w:rsidR="004D2D6A" w:rsidRDefault="004D2D6A" w:rsidP="004D2D6A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2) Die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Sinne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Absatz</w:t>
      </w:r>
      <w:proofErr w:type="spellEnd"/>
      <w:r>
        <w:rPr>
          <w:rFonts w:eastAsia="Times New Roman"/>
        </w:rPr>
        <w:t xml:space="preserve"> (1) </w:t>
      </w:r>
      <w:proofErr w:type="spellStart"/>
      <w:r>
        <w:rPr>
          <w:rFonts w:eastAsia="Times New Roman"/>
        </w:rPr>
        <w:t>erwähnten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Verfügungen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bereits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Inkrafttreten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Verordnung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durchgeführten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behördlichen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Maßnahmen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bleiben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Kraft, und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können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Schadenersatz-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sonstige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Ansprüche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hergeleitet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werden</w:t>
      </w:r>
      <w:proofErr w:type="spellEnd"/>
      <w:r>
        <w:rPr>
          <w:rFonts w:eastAsia="Times New Roman"/>
        </w:rPr>
        <w:t xml:space="preserve">. </w:t>
      </w:r>
    </w:p>
    <w:p w:rsidR="004D2D6A" w:rsidRDefault="004D2D6A" w:rsidP="004D2D6A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proofErr w:type="spellStart"/>
      <w:r>
        <w:rPr>
          <w:rFonts w:eastAsia="Times New Roman"/>
        </w:rPr>
        <w:t>Strafrechtliche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Verwaltungsverfahren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wegen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Verstoßes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gegen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Absatz</w:t>
      </w:r>
      <w:proofErr w:type="spellEnd"/>
      <w:r>
        <w:rPr>
          <w:rFonts w:eastAsia="Times New Roman"/>
        </w:rPr>
        <w:t xml:space="preserve"> (1) </w:t>
      </w:r>
      <w:proofErr w:type="spellStart"/>
      <w:r>
        <w:rPr>
          <w:rFonts w:eastAsia="Times New Roman"/>
        </w:rPr>
        <w:t>erwähnten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Verfügungen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Inkrafttreten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Verordnung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eingeleitet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ebenso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wie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ihrem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Verlauf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bereits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ergangenen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Beschlüsse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getroffenen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Maßnahmen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länger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durchführbar</w:t>
      </w:r>
      <w:proofErr w:type="spellEnd"/>
      <w:r>
        <w:rPr>
          <w:rFonts w:eastAsia="Times New Roman"/>
        </w:rPr>
        <w:t>.</w:t>
      </w:r>
    </w:p>
    <w:p w:rsidR="004D2D6A" w:rsidRDefault="004D2D6A" w:rsidP="004D2D6A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§3 </w:t>
      </w:r>
    </w:p>
    <w:p w:rsidR="004D2D6A" w:rsidRDefault="004D2D6A" w:rsidP="004D2D6A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proofErr w:type="spellStart"/>
      <w:r>
        <w:rPr>
          <w:rFonts w:eastAsia="Times New Roman"/>
        </w:rPr>
        <w:t>Alle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unter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Bestimmungen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Umsiedlungsverfügungen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fallen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ohne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umgesiedelt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sein</w:t>
      </w:r>
      <w:proofErr w:type="spellEnd"/>
      <w:r>
        <w:rPr>
          <w:rFonts w:eastAsia="Times New Roman"/>
        </w:rPr>
        <w:t xml:space="preserve">, eben </w:t>
      </w:r>
      <w:proofErr w:type="spellStart"/>
      <w:r>
        <w:rPr>
          <w:rFonts w:eastAsia="Times New Roman"/>
        </w:rPr>
        <w:t>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diejenigen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zwar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umgesiedelt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Zeitpunkt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Inkrafttretens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Verordnung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aufhalten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gemäß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einschlägigen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Verfügungen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ihrer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Meldepflicht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entsprochen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haben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Staatsangehörige</w:t>
      </w:r>
      <w:proofErr w:type="spellEnd"/>
      <w:r>
        <w:rPr>
          <w:rFonts w:eastAsia="Times New Roman"/>
        </w:rPr>
        <w:t xml:space="preserve"> und mit den </w:t>
      </w:r>
      <w:proofErr w:type="spellStart"/>
      <w:r>
        <w:rPr>
          <w:rFonts w:eastAsia="Times New Roman"/>
        </w:rPr>
        <w:t>übrigen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Hinsicht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gleichberechtigte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Bürger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ungarischen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Volksrepublik</w:t>
      </w:r>
      <w:proofErr w:type="spellEnd"/>
      <w:r>
        <w:rPr>
          <w:rFonts w:eastAsia="Times New Roman"/>
        </w:rPr>
        <w:t xml:space="preserve">. </w:t>
      </w:r>
    </w:p>
    <w:p w:rsidR="004D2D6A" w:rsidRDefault="004D2D6A" w:rsidP="004D2D6A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proofErr w:type="spellStart"/>
      <w:r>
        <w:rPr>
          <w:rFonts w:eastAsia="Times New Roman"/>
        </w:rPr>
        <w:t>Denjenigen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unter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Bestimmungen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Umsiedlungsverfügungen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fallen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ohne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Absatz</w:t>
      </w:r>
      <w:proofErr w:type="spellEnd"/>
      <w:r>
        <w:rPr>
          <w:rFonts w:eastAsia="Times New Roman"/>
        </w:rPr>
        <w:t xml:space="preserve"> (1) </w:t>
      </w:r>
      <w:proofErr w:type="spellStart"/>
      <w:r>
        <w:rPr>
          <w:rFonts w:eastAsia="Times New Roman"/>
        </w:rPr>
        <w:t>festgelegten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Voraussetzungen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zutreffen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kann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Innenminister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schutzwürdigen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Fällen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ungarische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Staatsangehörigkeit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verleihen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hierfür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würdig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erweisen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Entsprechende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Anträge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innerhalb</w:t>
      </w:r>
      <w:proofErr w:type="spellEnd"/>
      <w:r>
        <w:rPr>
          <w:rFonts w:eastAsia="Times New Roman"/>
        </w:rPr>
        <w:t xml:space="preserve"> von 6 </w:t>
      </w:r>
      <w:proofErr w:type="spellStart"/>
      <w:r>
        <w:rPr>
          <w:rFonts w:eastAsia="Times New Roman"/>
        </w:rPr>
        <w:t>Monaten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Inkrafttreten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Verordnung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über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ersten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Beamten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kommunalen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Selbstverwaltungsverbandes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bzw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über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Auslandsvertretung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einzureichen</w:t>
      </w:r>
      <w:proofErr w:type="spellEnd"/>
      <w:r>
        <w:rPr>
          <w:rFonts w:eastAsia="Times New Roman"/>
        </w:rPr>
        <w:t>.</w:t>
      </w:r>
    </w:p>
    <w:p w:rsidR="00BA68F5" w:rsidRDefault="004D2D6A" w:rsidP="004D2D6A">
      <w:proofErr w:type="spellStart"/>
      <w:r>
        <w:rPr>
          <w:rFonts w:eastAsia="Times New Roman"/>
        </w:rPr>
        <w:t>Doby</w:t>
      </w:r>
      <w:proofErr w:type="spellEnd"/>
      <w:r>
        <w:rPr>
          <w:rFonts w:eastAsia="Times New Roman"/>
        </w:rPr>
        <w:t xml:space="preserve"> István m. </w:t>
      </w:r>
      <w:proofErr w:type="gramStart"/>
      <w:r>
        <w:rPr>
          <w:rFonts w:eastAsia="Times New Roman"/>
        </w:rPr>
        <w:t>p.</w:t>
      </w:r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Vorsitzender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Ministerrates</w:t>
      </w:r>
      <w:proofErr w:type="spellEnd"/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2D6A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D2D6A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D6A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2015-01-18T09:29:00Z</dcterms:created>
  <dcterms:modified xsi:type="dcterms:W3CDTF">2015-01-18T09:29:00Z</dcterms:modified>
</cp:coreProperties>
</file>